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110" w:type="dxa"/>
        <w:jc w:val="left"/>
        <w:tblInd w:w="-6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229"/>
        <w:gridCol w:w="6880"/>
      </w:tblGrid>
      <w:tr>
        <w:trPr>
          <w:trHeight w:val="283" w:hRule="atLeast"/>
        </w:trPr>
        <w:tc>
          <w:tcPr>
            <w:tcW w:w="10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KARTA PRZEDMIOTU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 xml:space="preserve">Nazwa Uczelni </w:t>
            </w:r>
          </w:p>
        </w:tc>
        <w:tc>
          <w:tcPr>
            <w:tcW w:w="6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GB"/>
              </w:rPr>
              <w:t xml:space="preserve">Wyższa Szkoła Umiejętności Zawodowych z siedzibą w Pińczowie 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Nazwa Wydziału i Kierunku </w:t>
            </w:r>
          </w:p>
        </w:tc>
        <w:tc>
          <w:tcPr>
            <w:tcW w:w="6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Wydział Pielęgniarstwa, Kierunek: Pielęgniarstwo 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Profil kształcenia</w:t>
            </w:r>
          </w:p>
        </w:tc>
        <w:tc>
          <w:tcPr>
            <w:tcW w:w="6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Praktyczny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Poziom realizacji przedmiotu</w:t>
            </w:r>
          </w:p>
        </w:tc>
        <w:tc>
          <w:tcPr>
            <w:tcW w:w="6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Studia pierwszego stopnia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Forma kształcenia</w:t>
            </w:r>
          </w:p>
        </w:tc>
        <w:tc>
          <w:tcPr>
            <w:tcW w:w="6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Studia stacjonarne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Tytuł zawodowy uzyskiwany przez studenta</w:t>
            </w:r>
          </w:p>
        </w:tc>
        <w:tc>
          <w:tcPr>
            <w:tcW w:w="6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Licencjat pielęgniarstwa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Nazwa modułu kształcenia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( Nazwa przedmiotu)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SYSTEM INFORMACJI W OCHRONIE ZDROWIA – Kod przedmiotu: PI.POP.23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Język kształcenia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GB"/>
              </w:rPr>
              <w:t>Polski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Typ modułu kształcenia </w:t>
            </w:r>
          </w:p>
        </w:tc>
        <w:tc>
          <w:tcPr>
            <w:tcW w:w="6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Obowiązkowy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Przyporządkowanie do grupy przedmiotów</w:t>
            </w:r>
          </w:p>
        </w:tc>
        <w:tc>
          <w:tcPr>
            <w:tcW w:w="6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GB"/>
              </w:rPr>
              <w:t xml:space="preserve">C.  Nauki w Zakresie Podstaw Opieki  Pielęgniarskiej   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Rok studiów</w:t>
            </w:r>
          </w:p>
        </w:tc>
        <w:tc>
          <w:tcPr>
            <w:tcW w:w="6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GB"/>
              </w:rPr>
              <w:t>II,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Semestr</w:t>
            </w:r>
          </w:p>
        </w:tc>
        <w:tc>
          <w:tcPr>
            <w:tcW w:w="6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GB"/>
              </w:rPr>
              <w:t>III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ar-SA"/>
              </w:rPr>
              <w:t>Osoba/zespół przygotowująca/y kartę przedmiotu</w:t>
            </w:r>
          </w:p>
        </w:tc>
        <w:tc>
          <w:tcPr>
            <w:tcW w:w="6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0"/>
                <w:szCs w:val="20"/>
                <w:lang w:eastAsia="ar-SA"/>
              </w:rPr>
              <w:t>Wydział Pielęgniarstwa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Sposób realizacji</w:t>
            </w:r>
          </w:p>
        </w:tc>
        <w:tc>
          <w:tcPr>
            <w:tcW w:w="6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Zajęcia wymagające bezpośredniego udziału nauczyciela akademickiego                           i studentów: wykłady, ćwiczenia.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amokształcenie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Wymagania wstępne i dodatkowe</w:t>
            </w:r>
          </w:p>
        </w:tc>
        <w:tc>
          <w:tcPr>
            <w:tcW w:w="6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wiedza o społeczeństwie, historia - zakres szkoły średniej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Rodzaj i liczba godzin zajęć dydaktycznych wymagających bezpośredniego udziału nauczyciela akademickiego i studentów, gdy w danym module przewidziane są takie zajęcia</w:t>
            </w:r>
          </w:p>
        </w:tc>
        <w:tc>
          <w:tcPr>
            <w:tcW w:w="6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wykłady – 10 godz.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ćwiczenia – 5 godz.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samokształcenie – 15 godz.</w:t>
            </w:r>
          </w:p>
          <w:p>
            <w:pPr>
              <w:pStyle w:val="Tekstpodstawowy21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Liczba punktów ECTS przypisana modułowi</w:t>
            </w:r>
          </w:p>
        </w:tc>
        <w:tc>
          <w:tcPr>
            <w:tcW w:w="6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Stosowane metody dydaktyczne</w:t>
            </w:r>
          </w:p>
        </w:tc>
        <w:tc>
          <w:tcPr>
            <w:tcW w:w="6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20" w:leader="none"/>
              </w:tabs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Wykłady,  dyskusja,  nauczanie problemowe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Forma i warunki zaliczenia modułu</w:t>
            </w:r>
          </w:p>
        </w:tc>
        <w:tc>
          <w:tcPr>
            <w:tcW w:w="6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Annotationsubject"/>
              <w:rPr>
                <w:rFonts w:ascii="Times New Roman" w:hAnsi="Times New Roman" w:eastAsia="Times New Roman" w:cs="Times New Roman"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Wykłady - Zaliczenie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Ćwiczenia –zaliczenie z oceną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Samokształcenie – zaliczenie z oceną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/>
            </w:r>
          </w:p>
          <w:p>
            <w:pPr>
              <w:pStyle w:val="Tretekstu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Warunki zaliczenia i dopuszczenia do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zaliczenia wykładu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: posiadanie zaliczeń z ćwiczeń i samokształcenia.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Samokształcenie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-  test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Cele przedmiotu</w:t>
            </w:r>
          </w:p>
        </w:tc>
        <w:tc>
          <w:tcPr>
            <w:tcW w:w="6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Annotationsubject"/>
              <w:rPr>
                <w:rFonts w:ascii="Times New Roman" w:hAnsi="Times New Roman" w:eastAsia="Times New Roman" w:cs="Times New Roman"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pl-PL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Cel 1 Wyjaśnienie kluczowych elementów związanych z informatyzacją w sferze ochrony zdrowia. Poznanie zasad budowy i funkcjonowania Systemu Informacji Medycznej w polskim systemie ochrony zdrowia.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76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Cel 2 Poznanie metod oraz narzędzi zbierania i przetwarzania danych w SIM. Zdobycie wiedzy na temat posługiwania się technologiami informatycznymi oraz dokumentacją medyczną. Przygotowanie do posługiwania się elektroniczną dokumentacją medyczną.</w:t>
            </w:r>
          </w:p>
        </w:tc>
      </w:tr>
      <w:tr>
        <w:trPr>
          <w:trHeight w:val="4967" w:hRule="atLeast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Efekty uczenia się dla modułu kształcenia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705" w:hanging="705"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 wyniku kształcenia student:</w:t>
            </w:r>
          </w:p>
          <w:p>
            <w:pPr>
              <w:pStyle w:val="Akapitzlist1"/>
              <w:ind w:left="340" w:hanging="329"/>
              <w:rPr>
                <w:b/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W zakresie wiedzy:</w:t>
            </w:r>
          </w:p>
          <w:p>
            <w:pPr>
              <w:pStyle w:val="Akapitzlist1"/>
              <w:ind w:left="0" w:hanging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C.W39 Zna </w:t>
            </w:r>
            <w:r>
              <w:rPr>
                <w:color w:val="000000"/>
                <w:sz w:val="20"/>
                <w:szCs w:val="20"/>
              </w:rPr>
              <w:t>zasady budowy i funkcjonowania Systemu Informacji Medycznej (SIM), dziedzinowych systemów teleinformatycznych oraz rejestrów medycznych, a także zasady ich współdziałania;</w:t>
            </w:r>
          </w:p>
          <w:p>
            <w:pPr>
              <w:pStyle w:val="Akapitzlist1"/>
              <w:ind w:left="0" w:hanging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20"/>
                <w:szCs w:val="20"/>
              </w:rPr>
              <w:t>C.W40 Zna metody, narzędzia i techniki pozyskiwania danych</w:t>
            </w:r>
            <w:r>
              <w:rPr>
                <w:color w:val="000000"/>
                <w:sz w:val="14"/>
                <w:szCs w:val="14"/>
              </w:rPr>
              <w:t>;</w:t>
            </w:r>
          </w:p>
          <w:p>
            <w:pPr>
              <w:pStyle w:val="Akapitzlist1"/>
              <w:ind w:left="340" w:hanging="329"/>
              <w:rPr>
                <w:b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>W zakresie umiejętności:</w:t>
            </w:r>
          </w:p>
          <w:p>
            <w:pPr>
              <w:pStyle w:val="Akapitzlist1"/>
              <w:ind w:lef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C.U47 Potrafi przeprowadzać badanie fizykalne z wykorzystaniem systemów teleinformatycznych lub systemów łączności;</w:t>
            </w:r>
          </w:p>
          <w:p>
            <w:pPr>
              <w:pStyle w:val="Akapitzlist1"/>
              <w:ind w:lef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C.U50 Potrafi interpretować i stosować założenia funkcjonalne systemu informacyjnego z wykorzystaniem zaawansowanych metod i technologii informatycznych w wykonywaniu i kontraktowaniu świadczeń zdrowotnych; </w:t>
            </w:r>
          </w:p>
          <w:p>
            <w:pPr>
              <w:pStyle w:val="Akapitzlist1"/>
              <w:ind w:lef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C.U51 Potrafi posługiwać się w praktyce dokumentacją medyczną oraz przestrzegać zasad bezpieczeństwa i poufności informacji medycznej oraz prawa ochrony własności intelektualnej;</w:t>
            </w:r>
          </w:p>
          <w:p>
            <w:pPr>
              <w:pStyle w:val="Akapitzlist1"/>
              <w:ind w:left="0" w:hanging="0"/>
              <w:rPr>
                <w:b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>W zakresie kompetencji społecznych:</w:t>
            </w:r>
          </w:p>
          <w:p>
            <w:pPr>
              <w:pStyle w:val="Akapitzlist1"/>
              <w:ind w:lef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K.05 Zasięga opinii ekspertów w przypadku trudności z samodzielnym rozwiązaniem problemu;</w:t>
            </w:r>
          </w:p>
          <w:p>
            <w:pPr>
              <w:pStyle w:val="Akapitzlist1"/>
              <w:ind w:lef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K.07 Dostrzega i rozpoznaje własne ograniczenia w zakresie wiedzy, umiejętności i kompetencji społecznych oraz dokonuje samooceny deficytów i potrzeb edukacyjnych.</w:t>
            </w:r>
          </w:p>
        </w:tc>
      </w:tr>
      <w:tr>
        <w:trPr>
          <w:trHeight w:val="3281" w:hRule="atLeast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Treści modułu kształcenia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Akapitzlist1"/>
              <w:ind w:left="0" w:hanging="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WYKŁADY:</w:t>
            </w:r>
          </w:p>
          <w:p>
            <w:pPr>
              <w:pStyle w:val="Akapitzlist1"/>
              <w:ind w:lef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P1. Wstęp do Ustawy o systemie informacji medycznej z dnia 28 kwietnia 2011 r., przepisy ogólne.</w:t>
            </w:r>
          </w:p>
          <w:p>
            <w:pPr>
              <w:pStyle w:val="Akapitzlist1"/>
              <w:ind w:lef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P2. CSIOZ – informacje ogólne. Systemy teleinformatyczne obsługujące system informacji medycznej.</w:t>
            </w:r>
          </w:p>
          <w:p>
            <w:pPr>
              <w:pStyle w:val="Akapitzlist1"/>
              <w:ind w:lef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P3. System Informacji Medycznej</w:t>
            </w:r>
          </w:p>
          <w:p>
            <w:pPr>
              <w:pStyle w:val="Akapitzlist1"/>
              <w:ind w:lef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P4. Rejestry medyczne, zasady zbierania danych</w:t>
            </w:r>
          </w:p>
          <w:p>
            <w:pPr>
              <w:pStyle w:val="Akapitzlist1"/>
              <w:ind w:lef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P5. Dziedzinowe systemy teleinformatyczne</w:t>
            </w:r>
          </w:p>
          <w:p>
            <w:pPr>
              <w:pStyle w:val="Akapitzlist1"/>
              <w:ind w:left="0" w:hanging="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SEMINARIUM:</w:t>
            </w:r>
          </w:p>
          <w:p>
            <w:pPr>
              <w:pStyle w:val="Akapitzlist1"/>
              <w:ind w:lef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P6. Zasady przekazywania danych do systemu informacji i ich udostępniania</w:t>
            </w:r>
          </w:p>
          <w:p>
            <w:pPr>
              <w:pStyle w:val="Akapitzlist1"/>
              <w:ind w:lef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P7. Nadzór i kontrola nad systemem informacji i bazami danych</w:t>
            </w:r>
          </w:p>
          <w:p>
            <w:pPr>
              <w:pStyle w:val="Akapitzlist1"/>
              <w:ind w:lef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P8. Zmiany w przepisach obowiązujących</w:t>
            </w:r>
          </w:p>
          <w:p>
            <w:pPr>
              <w:pStyle w:val="Akapitzlist1"/>
              <w:ind w:left="0" w:hanging="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SAMOKSZTAŁCENIE:</w:t>
            </w:r>
          </w:p>
          <w:p>
            <w:pPr>
              <w:pStyle w:val="Akapitzlist1"/>
              <w:ind w:lef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P9. Prezentacja</w:t>
            </w:r>
          </w:p>
        </w:tc>
      </w:tr>
      <w:tr>
        <w:trPr>
          <w:trHeight w:val="283" w:hRule="atLeast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Wykaz literatury podstawowej i uzupełniającej, obowiązującej do zaliczenia danego modułu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u w:val="single"/>
              </w:rPr>
              <w:t>Literatura podstawowa: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Telemedycyna i e-Zdrowie. Prawo i informatyka. Wolters Kluwers 2019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Redakcja naukowa: Irena Lipowicz, Marek Świerczyński, Grażyna Szpor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E-zdrowie. Wprowadzenie do informatyki w pielęgniarstwie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Redakcja naukowa: Dorota Kiliańska, Hanna Grabowska, Aleksandra Gaworska-Krzemińska. Wydawca: PZWL Wydawnictwo Lekarskie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u w:val="single"/>
              </w:rPr>
              <w:t>Literatura uzupełniająca: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Ustawa z dnia 28 kwietnia 2011 r. o systemie informacji w ochronie zdrowia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Ustawa z dnia 19 lipca 2019 r. o zmianie niektórych ustaw w związku                             z wdrażaniem rozwiązań w obszarze e-zdrowia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Program Zintegrowanej Informatyzacji Państwa – strategiczny dokument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tbl>
      <w:tblPr>
        <w:tblW w:w="993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0"/>
        <w:gridCol w:w="1649"/>
        <w:gridCol w:w="1640"/>
        <w:gridCol w:w="1591"/>
        <w:gridCol w:w="1639"/>
        <w:gridCol w:w="1775"/>
      </w:tblGrid>
      <w:tr>
        <w:trPr/>
        <w:tc>
          <w:tcPr>
            <w:tcW w:w="99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KRYTERIA OCENY OSIĄGNIĘTYCH EFEKTÓW KSZTAŁCENIA </w:t>
            </w:r>
          </w:p>
        </w:tc>
      </w:tr>
      <w:tr>
        <w:trPr/>
        <w:tc>
          <w:tcPr>
            <w:tcW w:w="1640" w:type="dxa"/>
            <w:tcBorders>
              <w:left w:val="single" w:sz="6" w:space="0" w:color="000000"/>
              <w:bottom w:val="single" w:sz="6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 ocenę bardzo dobrą (5,0)</w:t>
            </w:r>
          </w:p>
        </w:tc>
        <w:tc>
          <w:tcPr>
            <w:tcW w:w="1649" w:type="dxa"/>
            <w:tcBorders>
              <w:left w:val="single" w:sz="6" w:space="0" w:color="000000"/>
              <w:bottom w:val="single" w:sz="6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 ocenę dobrą plus (4,5)</w:t>
            </w:r>
          </w:p>
        </w:tc>
        <w:tc>
          <w:tcPr>
            <w:tcW w:w="1640" w:type="dxa"/>
            <w:tcBorders>
              <w:left w:val="single" w:sz="6" w:space="0" w:color="000000"/>
              <w:bottom w:val="single" w:sz="6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 ocenę dobrą (4,0)</w:t>
            </w:r>
          </w:p>
        </w:tc>
        <w:tc>
          <w:tcPr>
            <w:tcW w:w="1591" w:type="dxa"/>
            <w:tcBorders>
              <w:left w:val="single" w:sz="6" w:space="0" w:color="000000"/>
              <w:bottom w:val="single" w:sz="6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 ocenę dostateczna plus (3,5)</w:t>
            </w:r>
          </w:p>
        </w:tc>
        <w:tc>
          <w:tcPr>
            <w:tcW w:w="1639" w:type="dxa"/>
            <w:tcBorders>
              <w:left w:val="single" w:sz="6" w:space="0" w:color="000000"/>
              <w:bottom w:val="single" w:sz="6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 ocenę dostateczną (3,0)</w:t>
            </w:r>
          </w:p>
        </w:tc>
        <w:tc>
          <w:tcPr>
            <w:tcW w:w="17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 ocenę niedostateczną (2,0)</w:t>
            </w:r>
          </w:p>
        </w:tc>
      </w:tr>
      <w:tr>
        <w:trPr/>
        <w:tc>
          <w:tcPr>
            <w:tcW w:w="164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96 – 100 %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pozytywnych odpowiedzi                  z rozwiązywania zadań. Student ma dużą wiedzę                          i umiejętności, samodzielnie myśli                            i rozwiązuje problemy badawcze. </w:t>
            </w:r>
          </w:p>
        </w:tc>
        <w:tc>
          <w:tcPr>
            <w:tcW w:w="164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86 -95 %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pozytywnych odpowiedzi z rozwiązywania zadań. Student ma duży zasób wiedzy                i umiejętności, ale efekty kształcenia nie wykraczają poza zakres omawianego materiału.</w:t>
            </w:r>
          </w:p>
        </w:tc>
        <w:tc>
          <w:tcPr>
            <w:tcW w:w="164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76 – 85 %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pozytywnych odpowiedzi                 z rozwiązywania zadań. Student opanował efekty kształcenia         w stopniu dobrym, potrafi prawidłowo formułować myśli, posługiwać się wiedzą i wymaganym słownictwem medycznym.</w:t>
            </w:r>
          </w:p>
        </w:tc>
        <w:tc>
          <w:tcPr>
            <w:tcW w:w="15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66 – 75 %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pozytywnych odpowiedzi              z rozwiązywania zadań. Student opanował efekty kształcenia             w stopniu zadowalającym, ale nie posługuje się wymaganym słownictwem medycznym.</w:t>
            </w:r>
          </w:p>
        </w:tc>
        <w:tc>
          <w:tcPr>
            <w:tcW w:w="163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 – 65 %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pozytywnych odpowiedzi z rozwiązywania zadań. Student opanował efekty kształcenia               w stopniu dostatecznym.</w:t>
            </w:r>
          </w:p>
        </w:tc>
        <w:tc>
          <w:tcPr>
            <w:tcW w:w="17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Poniżej 55 %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pozytywnych odpowiedzi   z rozwiązywania zadań. Odpowiedzi błędne, luki                               w wiadomościach. Student nie opanował założonych efektów kształcenia.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</w:rPr>
      </w:pPr>
      <w:r>
        <w:rPr/>
      </w:r>
    </w:p>
    <w:p>
      <w:pPr>
        <w:pStyle w:val="Normal"/>
        <w:rPr>
          <w:rFonts w:ascii="Times New Roman" w:hAnsi="Times New Roman" w:cs="Times New Roman"/>
          <w:b/>
          <w:b/>
          <w:bCs/>
        </w:rPr>
      </w:pPr>
      <w:r>
        <w:rPr/>
      </w:r>
    </w:p>
    <w:p>
      <w:pPr>
        <w:pStyle w:val="Normal"/>
        <w:rPr>
          <w:rFonts w:ascii="Times New Roman" w:hAnsi="Times New Roman" w:cs="Times New Roman"/>
          <w:b/>
          <w:b/>
          <w:bCs/>
        </w:rPr>
      </w:pPr>
      <w:r>
        <w:rPr/>
      </w:r>
    </w:p>
    <w:p>
      <w:pPr>
        <w:pStyle w:val="Normal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BILANS PUNKTÓW ECTS – NAKŁAD PRACY STUDENTA</w:t>
      </w:r>
    </w:p>
    <w:tbl>
      <w:tblPr>
        <w:tblW w:w="10098" w:type="dxa"/>
        <w:jc w:val="left"/>
        <w:tblInd w:w="28" w:type="dxa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7227"/>
        <w:gridCol w:w="1487"/>
        <w:gridCol w:w="1384"/>
      </w:tblGrid>
      <w:tr>
        <w:trPr>
          <w:trHeight w:val="660" w:hRule="exact"/>
        </w:trPr>
        <w:tc>
          <w:tcPr>
            <w:tcW w:w="7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Kategoria</w:t>
            </w:r>
          </w:p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Obciążenie studenta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Punkty ECTS</w:t>
            </w:r>
          </w:p>
        </w:tc>
      </w:tr>
      <w:tr>
        <w:trPr>
          <w:trHeight w:val="635" w:hRule="exact"/>
        </w:trPr>
        <w:tc>
          <w:tcPr>
            <w:tcW w:w="7227" w:type="dxa"/>
            <w:tcBorders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hd w:val="clear" w:color="auto" w:fill="DDDDDD"/>
              <w:spacing w:before="0" w:after="200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Udział w zajęciach dydaktycznych określonych w planie studiów (godz. kontaktowe)</w:t>
            </w:r>
          </w:p>
        </w:tc>
        <w:tc>
          <w:tcPr>
            <w:tcW w:w="1487" w:type="dxa"/>
            <w:tcBorders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15</w:t>
            </w:r>
          </w:p>
        </w:tc>
        <w:tc>
          <w:tcPr>
            <w:tcW w:w="1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1</w:t>
            </w:r>
          </w:p>
        </w:tc>
      </w:tr>
      <w:tr>
        <w:trPr>
          <w:trHeight w:val="390" w:hRule="exact"/>
        </w:trPr>
        <w:tc>
          <w:tcPr>
            <w:tcW w:w="722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Udział w wykładach</w:t>
            </w:r>
          </w:p>
        </w:tc>
        <w:tc>
          <w:tcPr>
            <w:tcW w:w="148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1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>
          <w:trHeight w:val="360" w:hRule="exact"/>
        </w:trPr>
        <w:tc>
          <w:tcPr>
            <w:tcW w:w="722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Udział w ćwiczeniach</w:t>
            </w:r>
          </w:p>
        </w:tc>
        <w:tc>
          <w:tcPr>
            <w:tcW w:w="148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</w:tr>
      <w:tr>
        <w:trPr>
          <w:trHeight w:val="390" w:hRule="exact"/>
        </w:trPr>
        <w:tc>
          <w:tcPr>
            <w:tcW w:w="7227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b/>
                <w:b/>
                <w:bCs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</w:rPr>
              <w:t xml:space="preserve">Samokształcenie </w:t>
            </w:r>
          </w:p>
        </w:tc>
        <w:tc>
          <w:tcPr>
            <w:tcW w:w="1487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15</w:t>
            </w:r>
          </w:p>
        </w:tc>
        <w:tc>
          <w:tcPr>
            <w:tcW w:w="1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before="0" w:after="200"/>
              <w:jc w:val="center"/>
              <w:rPr/>
            </w:pPr>
            <w:r>
              <w:rPr/>
            </w:r>
          </w:p>
        </w:tc>
      </w:tr>
      <w:tr>
        <w:trPr>
          <w:trHeight w:val="405" w:hRule="exact"/>
        </w:trPr>
        <w:tc>
          <w:tcPr>
            <w:tcW w:w="722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Przygotowanie do wykładu</w:t>
            </w:r>
          </w:p>
        </w:tc>
        <w:tc>
          <w:tcPr>
            <w:tcW w:w="148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375" w:hRule="exact"/>
        </w:trPr>
        <w:tc>
          <w:tcPr>
            <w:tcW w:w="722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Przygotowanie do ćwiczeń</w:t>
            </w:r>
          </w:p>
        </w:tc>
        <w:tc>
          <w:tcPr>
            <w:tcW w:w="148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375" w:hRule="exact"/>
        </w:trPr>
        <w:tc>
          <w:tcPr>
            <w:tcW w:w="722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Przygotowanie do egzaminu/kolokwium</w:t>
            </w:r>
          </w:p>
        </w:tc>
        <w:tc>
          <w:tcPr>
            <w:tcW w:w="148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420" w:hRule="exact"/>
        </w:trPr>
        <w:tc>
          <w:tcPr>
            <w:tcW w:w="7227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Łączna liczba godzin/punktów ECTS</w:t>
            </w:r>
          </w:p>
        </w:tc>
        <w:tc>
          <w:tcPr>
            <w:tcW w:w="1487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30</w:t>
            </w:r>
          </w:p>
        </w:tc>
        <w:tc>
          <w:tcPr>
            <w:tcW w:w="1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1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964" w:right="964" w:header="0" w:top="964" w:footer="0" w:bottom="1530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6655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auto"/>
      <w:kern w:val="2"/>
      <w:sz w:val="22"/>
      <w:szCs w:val="22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b6655b"/>
    <w:rPr>
      <w:rFonts w:ascii="Calibri" w:hAnsi="Calibri" w:eastAsia="Times New Roman" w:cs="Calibri"/>
      <w:kern w:val="2"/>
      <w:sz w:val="20"/>
      <w:szCs w:val="20"/>
      <w:lang w:eastAsia="ar-SA"/>
    </w:rPr>
  </w:style>
  <w:style w:type="character" w:styleId="TematkomentarzaZnak" w:customStyle="1">
    <w:name w:val="Temat komentarza Znak"/>
    <w:basedOn w:val="TekstkomentarzaZnak"/>
    <w:link w:val="Tematkomentarza"/>
    <w:qFormat/>
    <w:rsid w:val="00b6655b"/>
    <w:rPr>
      <w:rFonts w:ascii="Calibri" w:hAnsi="Calibri" w:eastAsia="Calibri" w:cs="Calibri"/>
      <w:kern w:val="2"/>
      <w:sz w:val="24"/>
      <w:szCs w:val="24"/>
      <w:lang w:val="x-none" w:eastAsia="ar-SA"/>
    </w:rPr>
  </w:style>
  <w:style w:type="character" w:styleId="TekstdymkaZnak">
    <w:name w:val="Tekst dymka Znak"/>
    <w:qFormat/>
    <w:rPr>
      <w:rFonts w:ascii="Segoe UI" w:hAnsi="Segoe UI" w:eastAsia="Segoe UI"/>
      <w:kern w:val="2"/>
      <w:sz w:val="18"/>
      <w:szCs w:val="18"/>
    </w:rPr>
  </w:style>
  <w:style w:type="character" w:styleId="ZnakZnak4">
    <w:name w:val="Znak Znak4"/>
    <w:qFormat/>
    <w:rPr>
      <w:rFonts w:ascii="Calibri" w:hAnsi="Calibri" w:eastAsia="Calibri"/>
      <w:lang w:val="pl-PL" w:eastAsia="ar-SA"/>
    </w:rPr>
  </w:style>
  <w:style w:type="character" w:styleId="ZnakZnak7">
    <w:name w:val="Znak Znak7"/>
    <w:qFormat/>
    <w:rPr>
      <w:rFonts w:ascii="Calibri" w:hAnsi="Calibri" w:eastAsia="Calibri"/>
      <w:lang w:val="pl-PL" w:eastAsia="ar-SA"/>
    </w:rPr>
  </w:style>
  <w:style w:type="character" w:styleId="ZnakZnak8">
    <w:name w:val="Znak Znak8"/>
    <w:qFormat/>
    <w:rPr>
      <w:rFonts w:eastAsia="Arial"/>
      <w:lang w:eastAsia="pl-PL"/>
    </w:rPr>
  </w:style>
  <w:style w:type="character" w:styleId="ZnakZnak9">
    <w:name w:val="Znak Znak9"/>
    <w:qFormat/>
    <w:rPr>
      <w:b/>
      <w:sz w:val="24"/>
      <w:lang w:val="pl-PL"/>
    </w:rPr>
  </w:style>
  <w:style w:type="character" w:styleId="Domylnaczcionkaakapitu1">
    <w:name w:val="Domyślna czcionka akapitu1"/>
    <w:qFormat/>
    <w:rPr/>
  </w:style>
  <w:style w:type="character" w:styleId="WW8Num3z1">
    <w:name w:val="WW8Num3z1"/>
    <w:qFormat/>
    <w:rPr>
      <w:rFonts w:ascii="Courier New" w:hAnsi="Courier New" w:eastAsia="Courier New"/>
    </w:rPr>
  </w:style>
  <w:style w:type="character" w:styleId="WW8Num2z1">
    <w:name w:val="WW8Num2z1"/>
    <w:qFormat/>
    <w:rPr>
      <w:rFonts w:ascii="Courier New" w:hAnsi="Courier New" w:eastAsia="Courier New"/>
    </w:rPr>
  </w:style>
  <w:style w:type="character" w:styleId="WW8Num2z0">
    <w:name w:val="WW8Num2z0"/>
    <w:qFormat/>
    <w:rPr>
      <w:rFonts w:ascii="Times New Roman" w:hAnsi="Times New Roman" w:eastAsia="Times New Roman"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Tekstpodstawowy21" w:customStyle="1">
    <w:name w:val="Tekst podstawowy 21"/>
    <w:basedOn w:val="Normal"/>
    <w:qFormat/>
    <w:rsid w:val="00b6655b"/>
    <w:pPr>
      <w:spacing w:lineRule="auto" w:line="480" w:before="0" w:after="120"/>
    </w:pPr>
    <w:rPr>
      <w:rFonts w:eastAsia="Calibri"/>
    </w:rPr>
  </w:style>
  <w:style w:type="paragraph" w:styleId="Akapitzlist1" w:customStyle="1">
    <w:name w:val="Akapit z listą1"/>
    <w:basedOn w:val="Normal"/>
    <w:qFormat/>
    <w:rsid w:val="00b6655b"/>
    <w:pPr>
      <w:spacing w:lineRule="auto" w:line="240" w:before="0" w:after="0"/>
      <w:ind w:left="720" w:hanging="0"/>
    </w:pPr>
    <w:rPr>
      <w:rFonts w:ascii="Times New Roman" w:hAnsi="Times New Roman" w:eastAsia="Calibri" w:cs="Times New Roman"/>
      <w:sz w:val="24"/>
      <w:szCs w:val="24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b6655b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Normal"/>
    <w:next w:val="Normal"/>
    <w:link w:val="TematkomentarzaZnak"/>
    <w:qFormat/>
    <w:rsid w:val="00b6655b"/>
    <w:pPr>
      <w:spacing w:lineRule="auto" w:line="240" w:before="0" w:after="0"/>
    </w:pPr>
    <w:rPr>
      <w:rFonts w:eastAsia="Calibri"/>
      <w:sz w:val="24"/>
      <w:szCs w:val="24"/>
      <w:lang w:val="x-none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Tekstdymka">
    <w:name w:val="Tekst dymka"/>
    <w:basedOn w:val="Normal"/>
    <w:qFormat/>
    <w:pPr>
      <w:spacing w:lineRule="exact" w:line="240" w:before="0" w:after="0"/>
    </w:pPr>
    <w:rPr>
      <w:rFonts w:ascii="Segoe UI" w:hAnsi="Segoe UI" w:eastAsia="Segoe UI"/>
      <w:sz w:val="18"/>
      <w:szCs w:val="18"/>
      <w:lang w:eastAsia="ar-SA"/>
    </w:rPr>
  </w:style>
  <w:style w:type="paragraph" w:styleId="Podpis1">
    <w:name w:val="Podpis1"/>
    <w:basedOn w:val="Normal"/>
    <w:qFormat/>
    <w:pPr>
      <w:spacing w:before="120" w:after="120"/>
    </w:pPr>
    <w:rPr>
      <w:rFonts w:eastAsia="Mangal"/>
      <w:i/>
      <w:iCs/>
      <w:lang w:eastAsia="ar-SA"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Mangal"/>
      <w:sz w:val="28"/>
      <w:szCs w:val="28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Application>LibreOffice/6.4.0.3$Windows_X86_64 LibreOffice_project/b0a288ab3d2d4774cb44b62f04d5d28733ac6df8</Application>
  <Pages>3</Pages>
  <Words>746</Words>
  <Characters>5209</Characters>
  <CharactersWithSpaces>6102</CharactersWithSpaces>
  <Paragraphs>122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k.waligorska</dc:creator>
  <dc:description/>
  <dc:language>pl-PL</dc:language>
  <cp:lastModifiedBy/>
  <dcterms:modified xsi:type="dcterms:W3CDTF">2020-09-13T19:55:31Z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